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60" w:lineRule="exact"/>
        <w:ind w:right="249"/>
        <w:jc w:val="center"/>
        <w:rPr>
          <w:rFonts w:cs="微软雅黑"/>
          <w:sz w:val="36"/>
          <w:szCs w:val="36"/>
        </w:rPr>
      </w:pPr>
      <w:bookmarkStart w:id="0" w:name="_GoBack"/>
      <w:bookmarkEnd w:id="0"/>
      <w:r>
        <w:rPr>
          <w:rFonts w:hint="eastAsia" w:cs="微软雅黑"/>
          <w:sz w:val="36"/>
          <w:szCs w:val="36"/>
        </w:rPr>
        <w:t>天津市专利代理行业联盟章程</w:t>
      </w:r>
    </w:p>
    <w:p/>
    <w:p>
      <w:pPr>
        <w:spacing w:line="460" w:lineRule="exact"/>
        <w:jc w:val="center"/>
        <w:rPr>
          <w:rFonts w:ascii="宋体" w:cs="黑体"/>
          <w:b/>
          <w:sz w:val="24"/>
        </w:rPr>
      </w:pPr>
      <w:r>
        <w:rPr>
          <w:rFonts w:hint="eastAsia" w:ascii="宋体" w:hAnsi="宋体" w:cs="黑体"/>
          <w:b/>
          <w:sz w:val="24"/>
        </w:rPr>
        <w:t>第一章</w:t>
      </w:r>
      <w:r>
        <w:rPr>
          <w:rFonts w:ascii="宋体" w:hAnsi="宋体" w:cs="黑体"/>
          <w:b/>
          <w:sz w:val="24"/>
        </w:rPr>
        <w:t xml:space="preserve"> </w:t>
      </w:r>
      <w:r>
        <w:rPr>
          <w:rFonts w:hint="eastAsia" w:ascii="宋体" w:hAnsi="宋体" w:cs="黑体"/>
          <w:b/>
          <w:sz w:val="24"/>
        </w:rPr>
        <w:t>总则</w:t>
      </w:r>
    </w:p>
    <w:p>
      <w:pPr>
        <w:spacing w:line="460" w:lineRule="exact"/>
        <w:ind w:firstLine="480" w:firstLineChars="200"/>
        <w:rPr>
          <w:rFonts w:ascii="宋体" w:cs="宋体"/>
          <w:sz w:val="24"/>
        </w:rPr>
      </w:pPr>
      <w:r>
        <w:rPr>
          <w:rFonts w:hint="eastAsia" w:ascii="宋体" w:hAnsi="宋体" w:cs="宋体"/>
          <w:sz w:val="24"/>
        </w:rPr>
        <w:t>第一条</w:t>
      </w:r>
      <w:r>
        <w:rPr>
          <w:rFonts w:ascii="宋体" w:hAnsi="宋体" w:cs="宋体"/>
          <w:sz w:val="24"/>
        </w:rPr>
        <w:t xml:space="preserve"> </w:t>
      </w:r>
      <w:r>
        <w:rPr>
          <w:rFonts w:hint="eastAsia" w:ascii="宋体" w:hAnsi="宋体" w:cs="宋体"/>
          <w:sz w:val="24"/>
        </w:rPr>
        <w:t>天津市专利代理行业联盟是由天津市专利代理服务机构自愿参加的合作组织，是区域性的行业性社会团体，是专利代理师的自律性组织。</w:t>
      </w:r>
    </w:p>
    <w:p>
      <w:pPr>
        <w:spacing w:line="460" w:lineRule="exact"/>
        <w:ind w:firstLine="480" w:firstLineChars="200"/>
        <w:rPr>
          <w:rFonts w:ascii="宋体" w:cs="宋体"/>
          <w:sz w:val="24"/>
        </w:rPr>
      </w:pPr>
      <w:r>
        <w:rPr>
          <w:rFonts w:hint="eastAsia" w:ascii="宋体" w:hAnsi="宋体" w:cs="宋体"/>
          <w:sz w:val="24"/>
        </w:rPr>
        <w:t>第二条</w:t>
      </w:r>
      <w:r>
        <w:rPr>
          <w:rFonts w:ascii="宋体" w:hAnsi="宋体" w:cs="宋体"/>
          <w:sz w:val="24"/>
        </w:rPr>
        <w:t xml:space="preserve"> </w:t>
      </w:r>
      <w:r>
        <w:rPr>
          <w:rFonts w:hint="eastAsia" w:ascii="宋体" w:hAnsi="宋体" w:cs="宋体"/>
          <w:sz w:val="24"/>
        </w:rPr>
        <w:t>联盟宗旨：团结和教育成员维护宪法和法律的尊严，忠实于专利代理事业，恪守专利代理师职业道德和执业纪律；协调行业内、外部关系，维护成员的合法权益，提高成员的执业素质；加强行业自律自治，制止不正当竞争，促进专利代理事业的健康发展；开展国内和国际间的交流和合作，为天津市知识产权事业的发展和经济建设服务。</w:t>
      </w:r>
    </w:p>
    <w:p>
      <w:pPr>
        <w:widowControl/>
        <w:shd w:val="clear" w:color="auto" w:fill="FFFFFF"/>
        <w:spacing w:line="460" w:lineRule="exact"/>
        <w:ind w:firstLine="480"/>
        <w:jc w:val="left"/>
        <w:rPr>
          <w:rFonts w:ascii="宋体" w:cs="宋体"/>
          <w:kern w:val="0"/>
          <w:sz w:val="24"/>
        </w:rPr>
      </w:pPr>
      <w:r>
        <w:rPr>
          <w:rFonts w:hint="eastAsia" w:ascii="宋体" w:hAnsi="宋体" w:cs="宋体"/>
          <w:sz w:val="24"/>
        </w:rPr>
        <w:t>第三条</w:t>
      </w:r>
      <w:r>
        <w:rPr>
          <w:rFonts w:ascii="宋体" w:hAnsi="宋体" w:cs="宋体"/>
          <w:sz w:val="24"/>
        </w:rPr>
        <w:t xml:space="preserve"> </w:t>
      </w:r>
      <w:r>
        <w:rPr>
          <w:rFonts w:hint="eastAsia" w:ascii="宋体" w:hAnsi="宋体" w:cs="宋体"/>
          <w:kern w:val="0"/>
          <w:sz w:val="24"/>
        </w:rPr>
        <w:t>本联盟受</w:t>
      </w:r>
      <w:r>
        <w:fldChar w:fldCharType="begin"/>
      </w:r>
      <w:r>
        <w:instrText xml:space="preserve"> HYPERLINK "https://baike.baidu.com/item/%E4%B8%AD%E5%8D%8E%E4%BA%BA%E6%B0%91%E5%85%B1%E5%92%8C%E5%9B%BD%E5%9B%BD%E5%AE%B6%E7%9F%A5%E8%AF%86%E4%BA%A7%E6%9D%83%E5%B1%80/2040691" \t "_blank" </w:instrText>
      </w:r>
      <w:r>
        <w:fldChar w:fldCharType="separate"/>
      </w:r>
      <w:r>
        <w:rPr>
          <w:rFonts w:hint="eastAsia" w:ascii="宋体" w:hAnsi="宋体" w:cs="宋体"/>
          <w:kern w:val="0"/>
          <w:sz w:val="24"/>
        </w:rPr>
        <w:t>天津市知识产权局</w:t>
      </w:r>
      <w:r>
        <w:fldChar w:fldCharType="end"/>
      </w:r>
      <w:r>
        <w:rPr>
          <w:rFonts w:hint="eastAsia" w:ascii="宋体" w:hAnsi="宋体" w:cs="宋体"/>
          <w:kern w:val="0"/>
          <w:sz w:val="24"/>
        </w:rPr>
        <w:t>的监督、指导。</w:t>
      </w:r>
    </w:p>
    <w:p>
      <w:pPr>
        <w:spacing w:line="460" w:lineRule="exact"/>
        <w:jc w:val="center"/>
        <w:rPr>
          <w:rFonts w:ascii="宋体" w:cs="黑体"/>
          <w:b/>
          <w:sz w:val="24"/>
        </w:rPr>
      </w:pPr>
      <w:r>
        <w:rPr>
          <w:rFonts w:hint="eastAsia" w:ascii="宋体" w:hAnsi="宋体" w:cs="黑体"/>
          <w:b/>
          <w:sz w:val="24"/>
        </w:rPr>
        <w:t>第二章</w:t>
      </w:r>
      <w:r>
        <w:rPr>
          <w:rFonts w:ascii="宋体" w:hAnsi="宋体" w:cs="黑体"/>
          <w:b/>
          <w:sz w:val="24"/>
        </w:rPr>
        <w:t xml:space="preserve"> </w:t>
      </w:r>
      <w:r>
        <w:rPr>
          <w:rFonts w:hint="eastAsia" w:ascii="宋体" w:hAnsi="宋体" w:cs="黑体"/>
          <w:b/>
          <w:sz w:val="24"/>
        </w:rPr>
        <w:t>职责</w:t>
      </w:r>
    </w:p>
    <w:p>
      <w:pPr>
        <w:spacing w:line="460" w:lineRule="exact"/>
        <w:ind w:firstLine="480" w:firstLineChars="200"/>
        <w:rPr>
          <w:rFonts w:ascii="宋体" w:cs="宋体"/>
          <w:sz w:val="24"/>
        </w:rPr>
      </w:pPr>
      <w:r>
        <w:rPr>
          <w:rFonts w:hint="eastAsia" w:ascii="宋体" w:hAnsi="宋体" w:cs="宋体"/>
          <w:sz w:val="24"/>
        </w:rPr>
        <w:t>第四条</w:t>
      </w:r>
      <w:r>
        <w:rPr>
          <w:rFonts w:ascii="宋体" w:hAnsi="宋体" w:cs="宋体"/>
          <w:sz w:val="24"/>
        </w:rPr>
        <w:t xml:space="preserve"> </w:t>
      </w:r>
      <w:r>
        <w:rPr>
          <w:rFonts w:hint="eastAsia" w:ascii="宋体" w:hAnsi="宋体" w:cs="宋体"/>
          <w:sz w:val="24"/>
        </w:rPr>
        <w:t>天津市专利代理行业联盟的职能是：</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（一）保障天津专利代理师依法执业，维护专利代理师的合法权益。</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（二）加强并完善行业管理职能；</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（三）总结交流天津专利代理业务工作经验，开拓专利代理业务领域；</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（四）组织开展专利代理业务培训和学术研究活动；</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（五）向政府有关部门反映有关法制建设和专利代理制度建设的问题和建议；协调行业内、外部关系；</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（六）协助</w:t>
      </w:r>
      <w:r>
        <w:fldChar w:fldCharType="begin"/>
      </w:r>
      <w:r>
        <w:instrText xml:space="preserve"> HYPERLINK "https://baike.baidu.com/item/%E5%9B%BD%E5%AE%B6%E7%9F%A5%E8%AF%86%E4%BA%A7%E6%9D%83%E5%B1%80/2111448" \t "_blank" </w:instrText>
      </w:r>
      <w:r>
        <w:fldChar w:fldCharType="separate"/>
      </w:r>
      <w:r>
        <w:rPr>
          <w:rFonts w:hint="eastAsia" w:ascii="宋体" w:hAnsi="宋体" w:cs="宋体"/>
          <w:kern w:val="0"/>
          <w:sz w:val="24"/>
        </w:rPr>
        <w:t>天津知识产权局</w:t>
      </w:r>
      <w:r>
        <w:fldChar w:fldCharType="end"/>
      </w:r>
      <w:r>
        <w:rPr>
          <w:rFonts w:hint="eastAsia" w:ascii="宋体" w:hAnsi="宋体" w:cs="宋体"/>
          <w:kern w:val="0"/>
          <w:sz w:val="24"/>
        </w:rPr>
        <w:t>和有关部门做好专利代理师的考核和职称评审工作；</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（七）协助天津知识产权局做好专利代理机构的年检工作；</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（八）调解本联盟认为需要由其调解的专利代理师执业活动中发生的纠纷；</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（九）开展与其他省市及外国专利代理组织的联系、交流和合作；</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（十）国家法律、行政法规规定和天津知识产权局授权行使的职责。</w:t>
      </w:r>
    </w:p>
    <w:p>
      <w:pPr>
        <w:spacing w:line="460" w:lineRule="exact"/>
        <w:jc w:val="center"/>
        <w:rPr>
          <w:rFonts w:ascii="宋体" w:cs="黑体"/>
          <w:b/>
          <w:sz w:val="24"/>
        </w:rPr>
      </w:pPr>
      <w:r>
        <w:rPr>
          <w:rFonts w:hint="eastAsia" w:ascii="宋体" w:hAnsi="宋体" w:cs="黑体"/>
          <w:b/>
          <w:sz w:val="24"/>
        </w:rPr>
        <w:t>第三章</w:t>
      </w:r>
      <w:r>
        <w:rPr>
          <w:rFonts w:ascii="宋体" w:hAnsi="宋体" w:cs="黑体"/>
          <w:b/>
          <w:sz w:val="24"/>
        </w:rPr>
        <w:t xml:space="preserve"> </w:t>
      </w:r>
      <w:r>
        <w:rPr>
          <w:rFonts w:hint="eastAsia" w:ascii="宋体" w:hAnsi="宋体" w:cs="黑体"/>
          <w:b/>
          <w:sz w:val="24"/>
        </w:rPr>
        <w:t>成员</w:t>
      </w:r>
    </w:p>
    <w:p>
      <w:pPr>
        <w:spacing w:line="460" w:lineRule="exact"/>
        <w:ind w:firstLine="480" w:firstLineChars="200"/>
        <w:rPr>
          <w:rFonts w:ascii="宋体" w:cs="宋体"/>
          <w:sz w:val="24"/>
        </w:rPr>
      </w:pPr>
      <w:r>
        <w:rPr>
          <w:rFonts w:hint="eastAsia" w:ascii="宋体" w:hAnsi="宋体" w:cs="宋体"/>
          <w:sz w:val="24"/>
        </w:rPr>
        <w:t>第五条</w:t>
      </w:r>
      <w:r>
        <w:rPr>
          <w:rFonts w:ascii="宋体" w:hAnsi="宋体" w:cs="宋体"/>
          <w:sz w:val="24"/>
        </w:rPr>
        <w:t xml:space="preserve"> </w:t>
      </w:r>
      <w:r>
        <w:rPr>
          <w:rFonts w:hint="eastAsia" w:ascii="宋体" w:hAnsi="宋体" w:cs="宋体"/>
          <w:sz w:val="24"/>
        </w:rPr>
        <w:t>拥护本章程且在国家知识产权局登记注册的天津市专利代理服务机构</w:t>
      </w:r>
      <w:r>
        <w:rPr>
          <w:rFonts w:ascii="宋体" w:cs="宋体"/>
          <w:sz w:val="24"/>
        </w:rPr>
        <w:t>,</w:t>
      </w:r>
      <w:r>
        <w:rPr>
          <w:rFonts w:hint="eastAsia" w:ascii="宋体" w:hAnsi="宋体" w:cs="宋体"/>
          <w:sz w:val="24"/>
        </w:rPr>
        <w:t>均可申请加入。</w:t>
      </w:r>
    </w:p>
    <w:p>
      <w:pPr>
        <w:spacing w:line="460" w:lineRule="exact"/>
        <w:ind w:firstLine="480" w:firstLineChars="200"/>
        <w:rPr>
          <w:rFonts w:ascii="宋体" w:cs="宋体"/>
          <w:sz w:val="24"/>
        </w:rPr>
      </w:pPr>
      <w:r>
        <w:rPr>
          <w:rFonts w:hint="eastAsia" w:ascii="宋体" w:hAnsi="宋体" w:cs="宋体"/>
          <w:sz w:val="24"/>
        </w:rPr>
        <w:t>第六条</w:t>
      </w:r>
      <w:r>
        <w:rPr>
          <w:rFonts w:ascii="宋体" w:hAnsi="宋体" w:cs="宋体"/>
          <w:sz w:val="24"/>
        </w:rPr>
        <w:t xml:space="preserve"> </w:t>
      </w:r>
      <w:r>
        <w:rPr>
          <w:rFonts w:hint="eastAsia" w:ascii="宋体" w:hAnsi="宋体" w:cs="宋体"/>
          <w:sz w:val="24"/>
        </w:rPr>
        <w:t>加入联盟的程序是：</w:t>
      </w:r>
    </w:p>
    <w:p>
      <w:pPr>
        <w:spacing w:line="460" w:lineRule="exact"/>
        <w:ind w:firstLine="480" w:firstLineChars="200"/>
        <w:rPr>
          <w:rFonts w:ascii="宋体" w:cs="宋体"/>
          <w:sz w:val="24"/>
        </w:rPr>
      </w:pPr>
      <w:r>
        <w:rPr>
          <w:rFonts w:hint="eastAsia" w:ascii="宋体" w:hAnsi="宋体" w:cs="宋体"/>
          <w:sz w:val="24"/>
        </w:rPr>
        <w:t>提交申请书及营业执照；</w:t>
      </w:r>
    </w:p>
    <w:p>
      <w:pPr>
        <w:widowControl/>
        <w:shd w:val="clear" w:color="auto" w:fill="FFFFFF"/>
        <w:spacing w:line="460" w:lineRule="exact"/>
        <w:ind w:firstLine="480"/>
        <w:jc w:val="left"/>
        <w:rPr>
          <w:rFonts w:ascii="宋体" w:cs="宋体"/>
          <w:sz w:val="24"/>
        </w:rPr>
      </w:pPr>
      <w:r>
        <w:rPr>
          <w:rFonts w:hint="eastAsia" w:ascii="宋体" w:hAnsi="宋体" w:cs="宋体"/>
          <w:sz w:val="24"/>
        </w:rPr>
        <w:t>经联盟理事秘书处初步审核后报常务理事会批准。</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第七条　本联盟成员享有下列权利：</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（一）本联盟的选举权与被选举权；</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（二）参加本联盟举办的学习、培训、研究和经验交流活动；</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（三）获得本联盟提供的有关资料；</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（四）通过本联盟向有关部门提出立法和执法的意见和建议；</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（五）对本联盟的工作提出批评和建议；</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（六）监督本联盟的会费收支。</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第八条　本联盟成员应履行下列义务；</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（一）遵守本联盟章程，执行本联盟决议；</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（二）遵守专利代理师职业道德和执业纪律，遵守专利代理师行业规范和准则；</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（三）接受本联盟的指导、监督、管理和培训，完成本联盟委托的工作；</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（四）按期交纳会费；</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（五）维护成员间的团结。</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第九条　成员管理办法、由本联盟秘书处拟订，经理事会批准执行。</w:t>
      </w:r>
    </w:p>
    <w:p>
      <w:pPr>
        <w:spacing w:line="460" w:lineRule="exact"/>
        <w:jc w:val="center"/>
        <w:rPr>
          <w:rFonts w:ascii="宋体" w:cs="宋体"/>
          <w:b/>
          <w:sz w:val="24"/>
        </w:rPr>
      </w:pPr>
      <w:r>
        <w:rPr>
          <w:rFonts w:hint="eastAsia" w:ascii="宋体" w:hAnsi="宋体" w:cs="宋体"/>
          <w:b/>
          <w:sz w:val="24"/>
        </w:rPr>
        <w:t>第四章　成员大会</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第十条　本联盟最高权力机构是成员大会。成员大会每年举行一次，必要时，由本联盟理事会决定延期或提前举行。</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第十一条　成员大会的职权是：</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（一）制定、修改本联盟章程；</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（二）讨论决定本联盟的工作方针和任务；</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（三）审议、批准本联盟理事会的工作报告；</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（四）审议、批准本联盟的财务工作报告；</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（五）选举本联盟理事会成员；</w:t>
      </w:r>
    </w:p>
    <w:p>
      <w:pPr>
        <w:widowControl/>
        <w:shd w:val="clear" w:color="auto" w:fill="FFFFFF"/>
        <w:spacing w:line="460" w:lineRule="exact"/>
        <w:ind w:firstLine="480"/>
        <w:jc w:val="left"/>
        <w:rPr>
          <w:rFonts w:ascii="宋体" w:cs="宋体"/>
          <w:sz w:val="24"/>
        </w:rPr>
      </w:pPr>
      <w:r>
        <w:rPr>
          <w:rFonts w:hint="eastAsia" w:ascii="宋体" w:hAnsi="宋体" w:cs="宋体"/>
          <w:kern w:val="0"/>
          <w:sz w:val="24"/>
        </w:rPr>
        <w:t>（六）其他应由成员大会行使的职权。</w:t>
      </w:r>
    </w:p>
    <w:p>
      <w:pPr>
        <w:spacing w:line="460" w:lineRule="exact"/>
        <w:jc w:val="center"/>
        <w:rPr>
          <w:rFonts w:ascii="宋体" w:cs="宋体"/>
          <w:b/>
          <w:sz w:val="24"/>
        </w:rPr>
      </w:pPr>
      <w:r>
        <w:rPr>
          <w:rFonts w:hint="eastAsia" w:ascii="宋体" w:hAnsi="宋体" w:cs="宋体"/>
          <w:b/>
          <w:sz w:val="24"/>
        </w:rPr>
        <w:t>第五章　理事会与常务理事会</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第十二条　成员大会选举理事若干人组成理事会。每届理事任期三年，可以连选连任。</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第十三条　理事会对成员大会负责。其职权是：</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（一）领导本联盟会务，在成员大会闭会期间行使大会职权；</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（二）选举本联盟常务理事会组成人员；</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（三）增补或更换本联盟理事；</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（四）制定本联盟年度工作计划，总结检查年度工作计划执行情况；</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（五）其他应由理事会行使的职权。</w:t>
      </w:r>
      <w:r>
        <w:rPr>
          <w:rFonts w:ascii="宋体" w:hAnsi="宋体" w:cs="宋体"/>
          <w:kern w:val="0"/>
          <w:sz w:val="24"/>
        </w:rPr>
        <w:t xml:space="preserve"> </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第十四条　常务理事会由理事长、副理事长、秘书长、常务理事组成。常务理事会于理事会闭会期间，行使理事会的职权。</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第十五条　理事长代表本联盟，召集、主持理事会、常务理事会和成员代表大会，并监督、检查其决议的贯彻实施。</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本联盟理事长任期三年，可连选连任，但不超过两届。</w:t>
      </w:r>
    </w:p>
    <w:p>
      <w:pPr>
        <w:spacing w:line="460" w:lineRule="exact"/>
        <w:jc w:val="center"/>
        <w:rPr>
          <w:rFonts w:ascii="宋体" w:cs="宋体"/>
          <w:b/>
          <w:sz w:val="24"/>
        </w:rPr>
      </w:pPr>
      <w:r>
        <w:rPr>
          <w:rFonts w:hint="eastAsia" w:ascii="宋体" w:hAnsi="宋体" w:cs="宋体"/>
          <w:b/>
          <w:sz w:val="24"/>
        </w:rPr>
        <w:t>第六章　执行机构与专业委员会</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第十六条　理事会设秘书处，为本联盟常设办事机构。</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第十七条　秘书长主持秘书处日常工作，副秘书长协助秘书长工作。副秘书长人选由秘书长推荐，并提请常务理事会批准。</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第十八条　秘书处各职能部门的设置，由秘书长提出方案，提请常务理事会批准。</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第十九条　本联盟可根据工作需要设若干专业委员会。委员会设主任一人、副主任若干人和委员若干人。专业委员会的设置、调整和主任、副主任人选由常务理事会决定。</w:t>
      </w:r>
    </w:p>
    <w:p>
      <w:pPr>
        <w:spacing w:line="460" w:lineRule="exact"/>
        <w:jc w:val="center"/>
        <w:rPr>
          <w:rFonts w:ascii="宋体" w:cs="宋体"/>
          <w:b/>
          <w:sz w:val="24"/>
        </w:rPr>
      </w:pPr>
      <w:r>
        <w:rPr>
          <w:rFonts w:hint="eastAsia" w:ascii="宋体" w:hAnsi="宋体" w:cs="宋体"/>
          <w:b/>
          <w:sz w:val="24"/>
        </w:rPr>
        <w:t>第七章　奖励与处分</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第二十条　本联盟可以对模范履行成员义务并在专利代理事业中有突出贡献的成员予以奖励；对违反法律和专利代理师行业规范的成员给予必要处分。</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第二十一条　成员有下列情形之一的，由本联盟分别给予通报表扬、授予荣誉称号或物质奖励；</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（一）在专利代理业务方面成绩显著的；</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（二）积极开拓专利代理业务新领域，成绩显著的；</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（三）其他应予奖励的情形。</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第二十二条　成员有违反《</w:t>
      </w:r>
      <w:r>
        <w:fldChar w:fldCharType="begin"/>
      </w:r>
      <w:r>
        <w:instrText xml:space="preserve"> HYPERLINK "https://baike.baidu.com/item/%E4%B8%93%E5%88%A9%E4%BB%A3%E7%90%86%E6%9D%A1%E4%BE%8B/7991771" \t "_blank" </w:instrText>
      </w:r>
      <w:r>
        <w:fldChar w:fldCharType="separate"/>
      </w:r>
      <w:r>
        <w:rPr>
          <w:rFonts w:hint="eastAsia" w:ascii="宋体" w:hAnsi="宋体" w:cs="宋体"/>
          <w:kern w:val="0"/>
          <w:sz w:val="24"/>
        </w:rPr>
        <w:t>专利代理条例</w:t>
      </w:r>
      <w:r>
        <w:fldChar w:fldCharType="end"/>
      </w:r>
      <w:r>
        <w:rPr>
          <w:rFonts w:hint="eastAsia" w:ascii="宋体" w:hAnsi="宋体" w:cs="宋体"/>
          <w:kern w:val="0"/>
          <w:sz w:val="24"/>
        </w:rPr>
        <w:t>》或其它法律法规规定以及违反专利代理师行业规范行为的，由本联盟分别给予警告、通报批评处分。情节严重的，本联盟建议</w:t>
      </w:r>
      <w:r>
        <w:fldChar w:fldCharType="begin"/>
      </w:r>
      <w:r>
        <w:instrText xml:space="preserve"> HYPERLINK "https://baike.baidu.com/item/%E5%9B%BD%E5%AE%B6%E7%9F%A5%E8%AF%86%E4%BA%A7%E6%9D%83%E5%B1%80/2111448" \t "_blank" </w:instrText>
      </w:r>
      <w:r>
        <w:fldChar w:fldCharType="separate"/>
      </w:r>
      <w:r>
        <w:rPr>
          <w:rFonts w:hint="eastAsia" w:ascii="宋体" w:hAnsi="宋体" w:cs="宋体"/>
          <w:kern w:val="0"/>
          <w:sz w:val="24"/>
        </w:rPr>
        <w:t>国家知识产权局</w:t>
      </w:r>
      <w:r>
        <w:fldChar w:fldCharType="end"/>
      </w:r>
      <w:r>
        <w:rPr>
          <w:rFonts w:hint="eastAsia" w:ascii="宋体" w:hAnsi="宋体" w:cs="宋体"/>
          <w:kern w:val="0"/>
          <w:sz w:val="24"/>
        </w:rPr>
        <w:t>予以行政处分。</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第二十三条　成员因违反《专利代理条例》第二十五条的规定被国家知识产权局吊销《专利代理师资格证书》的，本联盟取消其成员资格。</w:t>
      </w:r>
    </w:p>
    <w:p>
      <w:pPr>
        <w:spacing w:line="460" w:lineRule="exact"/>
        <w:jc w:val="center"/>
        <w:rPr>
          <w:rFonts w:ascii="宋体" w:cs="宋体"/>
          <w:b/>
          <w:sz w:val="24"/>
        </w:rPr>
      </w:pPr>
      <w:r>
        <w:rPr>
          <w:rFonts w:hint="eastAsia" w:ascii="宋体" w:hAnsi="宋体" w:cs="宋体"/>
          <w:b/>
          <w:sz w:val="24"/>
        </w:rPr>
        <w:t>第八章　经费</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第二十四条　本联盟经费来源为；</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（一）会费收入；</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（二）国内外捐赠；</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（三）政府部门资助；</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（四）有偿服务收入；</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（五）其他合法收入。</w:t>
      </w:r>
    </w:p>
    <w:p>
      <w:pPr>
        <w:spacing w:line="460" w:lineRule="exact"/>
        <w:jc w:val="center"/>
        <w:rPr>
          <w:rFonts w:ascii="宋体" w:cs="宋体"/>
          <w:b/>
          <w:sz w:val="24"/>
        </w:rPr>
      </w:pPr>
      <w:r>
        <w:rPr>
          <w:rFonts w:hint="eastAsia" w:ascii="宋体" w:hAnsi="宋体" w:cs="宋体"/>
          <w:b/>
          <w:sz w:val="24"/>
        </w:rPr>
        <w:t>第九章　附则</w:t>
      </w:r>
    </w:p>
    <w:p>
      <w:pPr>
        <w:widowControl/>
        <w:shd w:val="clear" w:color="auto" w:fill="FFFFFF"/>
        <w:spacing w:line="460" w:lineRule="exact"/>
        <w:ind w:firstLine="480"/>
        <w:jc w:val="left"/>
        <w:rPr>
          <w:rFonts w:ascii="宋体" w:cs="宋体"/>
          <w:kern w:val="0"/>
          <w:sz w:val="24"/>
        </w:rPr>
      </w:pPr>
      <w:r>
        <w:rPr>
          <w:rFonts w:hint="eastAsia" w:ascii="宋体" w:hAnsi="宋体" w:cs="宋体"/>
          <w:kern w:val="0"/>
          <w:sz w:val="24"/>
        </w:rPr>
        <w:t>第二十一条　本章程由天津市专利代理行业联盟常务理事会负责解释。</w:t>
      </w:r>
    </w:p>
    <w:p>
      <w:pPr>
        <w:spacing w:line="460" w:lineRule="exact"/>
        <w:ind w:firstLine="480" w:firstLineChars="200"/>
        <w:rPr>
          <w:rFonts w:ascii="宋体"/>
        </w:rPr>
      </w:pPr>
      <w:r>
        <w:rPr>
          <w:rFonts w:hint="eastAsia" w:ascii="宋体" w:hAnsi="宋体" w:cs="宋体"/>
          <w:kern w:val="0"/>
          <w:sz w:val="24"/>
        </w:rPr>
        <w:t>第二十六条　本章程自第一次天津市专利代理行业联盟成员大会通过之日起施行。</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6D0D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9"/>
    <w:pPr>
      <w:spacing w:beforeAutospacing="1" w:afterAutospacing="1"/>
      <w:jc w:val="left"/>
      <w:outlineLvl w:val="0"/>
    </w:pPr>
    <w:rPr>
      <w:rFonts w:ascii="宋体" w:hAnsi="宋体"/>
      <w:b/>
      <w:bCs/>
      <w:kern w:val="44"/>
      <w:sz w:val="48"/>
      <w:szCs w:val="48"/>
    </w:rPr>
  </w:style>
  <w:style w:type="character" w:default="1" w:styleId="7">
    <w:name w:val="Default Paragraph Font"/>
    <w:uiPriority w:val="99"/>
  </w:style>
  <w:style w:type="table" w:default="1" w:styleId="6">
    <w:name w:val="Normal Table"/>
    <w:qFormat/>
    <w:uiPriority w:val="99"/>
    <w:tblPr>
      <w:tblCellMar>
        <w:top w:w="0" w:type="dxa"/>
        <w:left w:w="108" w:type="dxa"/>
        <w:bottom w:w="0" w:type="dxa"/>
        <w:right w:w="108" w:type="dxa"/>
      </w:tblCellMar>
    </w:tblPr>
  </w:style>
  <w:style w:type="paragraph" w:styleId="3">
    <w:name w:val="Balloon Text"/>
    <w:basedOn w:val="1"/>
    <w:link w:val="11"/>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styleId="9">
    <w:name w:val="Hyperlink"/>
    <w:basedOn w:val="7"/>
    <w:uiPriority w:val="99"/>
    <w:rPr>
      <w:rFonts w:cs="Times New Roman"/>
      <w:color w:val="0000FF"/>
      <w:u w:val="single"/>
    </w:rPr>
  </w:style>
  <w:style w:type="character" w:customStyle="1" w:styleId="10">
    <w:name w:val="Heading 1 Char_c3667486-cee1-4510-bd1f-28914ce385ef"/>
    <w:basedOn w:val="7"/>
    <w:link w:val="2"/>
    <w:uiPriority w:val="99"/>
    <w:rPr>
      <w:rFonts w:ascii="Calibri" w:hAnsi="Calibri" w:cs="Times New Roman"/>
      <w:b/>
      <w:bCs/>
      <w:kern w:val="44"/>
      <w:sz w:val="44"/>
      <w:szCs w:val="44"/>
    </w:rPr>
  </w:style>
  <w:style w:type="character" w:customStyle="1" w:styleId="11">
    <w:name w:val="Balloon Text Char"/>
    <w:basedOn w:val="7"/>
    <w:link w:val="3"/>
    <w:uiPriority w:val="99"/>
    <w:rPr>
      <w:rFonts w:ascii="Calibri" w:hAnsi="Calibri" w:cs="Times New Roman"/>
      <w:sz w:val="2"/>
    </w:rPr>
  </w:style>
  <w:style w:type="character" w:customStyle="1" w:styleId="12">
    <w:name w:val="Footer Char_cb73767d-4e91-498f-b892-e2272bba6d5d"/>
    <w:basedOn w:val="7"/>
    <w:link w:val="4"/>
    <w:qFormat/>
    <w:uiPriority w:val="99"/>
    <w:rPr>
      <w:rFonts w:ascii="Calibri" w:hAnsi="Calibri" w:cs="Times New Roman"/>
      <w:sz w:val="18"/>
      <w:szCs w:val="18"/>
    </w:rPr>
  </w:style>
  <w:style w:type="character" w:customStyle="1" w:styleId="13">
    <w:name w:val="Header Char_8478d323-6091-4be3-a0b4-b3fec8cb83c7"/>
    <w:basedOn w:val="7"/>
    <w:link w:val="5"/>
    <w:qFormat/>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2076</Words>
  <Characters>2076</Characters>
  <Paragraphs>86</Paragraphs>
  <TotalTime>157</TotalTime>
  <ScaleCrop>false</ScaleCrop>
  <LinksUpToDate>false</LinksUpToDate>
  <CharactersWithSpaces>2112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2021-09-17T06:19:00Z</dcterms:created>
  <dc:creator>Administrator</dc:creator>
  <cp:lastModifiedBy>弓虽</cp:lastModifiedBy>
  <cp:lastPrinted>2021-10-08T06:10:16Z</cp:lastPrinted>
  <dcterms:modified xsi:type="dcterms:W3CDTF">2021-10-08T06:22:10Z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AF5AB1941BF34716AFFBD5307703CA46</vt:lpwstr>
  </property>
</Properties>
</file>